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历史的回望</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新闻纪录片</w:t>
            </w:r>
            <w:proofErr w:type="spellStart"/>
            <w:proofErr w:type="spellEnd"/>
            <w:r>
              <w:rPr>
                <w:rFonts w:ascii="宋体" w:hAnsi="宋体" w:hint="eastAsia"/>
                <w:color w:val="000000"/>
                <w:sz w:val="24"/>
                <w:szCs w:val="21"/>
                <w:u w:val="single"/>
              </w:rPr>
              <w:t>新媒体</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1572 字；0时06分04秒</w:t>
              <w:br w:type="textWrapping"/>
              <w:t>2024 字；0时06分39秒</w:t>
              <w:br w:type="textWrapping"/>
              <w:t>2558 字；0时07分55秒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西藏广播电视台</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西藏卫视+微信公众号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2025年08月18日 到 2025年08月26日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https://mp.weixin.qq.com/s/VLF3B1j55b3xON55U-TEFA</w:t>
              <w:br w:type="textWrapping"/>
              <w:t>https://mp.weixin.qq.com/s/BVYg2fyoVDzftG7EbfLUPA?scene=1&amp;click_id=18</w:t>
              <w:br w:type="textWrapping"/>
              <w:t>https://mp.weixin.qq.com/s/vp9uCAsfZGeG82FI5Lc-DA</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历史的回望》系列纪实片以新影厂西藏珍贵老影像为起点，采用“新旧对照”叙事框架，铺就跨越六十载的时空走廊。影片从产业发展、社会变迁、文化传承等六个维度，选取典型人物故事，通过严谨的影像比对与深度寻访，实现历史纵深与当下现实的互文。</w:t>
            </w:r>
          </w:p>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创作团队携带历史素材实地寻访，成功对接多布杰、叶静、潘多等影像亲历者及其后代，通过深度访谈与纪实跟拍，真实映照人物生命轨迹。制作上注重新旧场景匹配与情节呼应，强化对比张力，客观呈现西藏在社会经济、文化生活与个体命运等方面的具体变迁。</w:t>
            </w:r>
          </w:p>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该片以具象视角，全方位展现西藏自治区成立六十年来波澜壮阔的变革，深情礼赞这片土地在中国共产党领导下取得的历史性成就与全方位进步。</w:t>
            </w:r>
          </w:p>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以真实可感的个体命运为切入点，将宏大的时代叙事转化为具象的情感共鸣。作品不仅是对历史档案的抢救性发掘，更构建了一条可信、可亲、可感的情感通道，让观众在跨越时空的对比中，直观而深刻地理解了西藏自治区成立六十年来在社会经济、文化生活的全面发展上取得的巨大成就。</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https://mp.weixin.qq.com/s/BVYg2fyoVDzftG7EbfLUPA?scene=1&amp;click_id=18； https://mp.weixin.qq.com/s/VLF3B1j55b3xON55U-TEFA； https://mp.weixin.qq.com/s/KnbIaRX-Z4qIFtc7m7daQQ?scene=1&amp;click_id=20； https://mp.weixin.qq.com/s/WDAOUTm1cYiCIshs6f80yw； https://mp.weixin.qq.com/s/vp9uCAsfZGeG82FI5Lc-DA； https://mp.weixin.qq.com/s/VrK3jbtcXOxBU_lf4CGQAg；</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49000；66000；30000；</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2235；3977；1399</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80071；170604；100087</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片在全媒体平台播发后，引发了跨代际、跨地域的观看与讨论热潮。它超越了简单的宣传说教，以扎实的实证精神和浓厚的人文关怀，成功激发了受众，特别是年轻一代，对西藏历史与现状的探究兴趣，凝聚起对国家发展、民族团结与时代进步的广泛认同，实现了主旋律作品传播力、引导力、影响力与社会效益的高度统一，为重大主题纪实创作树立了典范。</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2CE7649F" w14:textId="77777777" w:rsidR="003708EB" w:rsidRDefault="00000000">
      <w:pPr>
        <w:widowControl/>
        <w:jc w:val="left"/>
      </w:pPr>
      <w:r>
        <w:br w:type="page"/>
      </w:r>
    </w:p>
    <w:p w14:paraId="440C02BA" w14:textId="77777777" w:rsidR="003708EB"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历史的回望</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7CED2D3D" w14:textId="77777777">
        <w:trPr>
          <w:trHeight w:val="680"/>
        </w:trPr>
        <w:tc>
          <w:tcPr>
            <w:tcW w:w="1843" w:type="dxa"/>
            <w:vAlign w:val="center"/>
          </w:tcPr>
          <w:p w14:paraId="1C50742D" w14:textId="77777777" w:rsidR="003708EB"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5585929A"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0055F6E4"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《历史的回望》主创人员名单</w:t>
              <w:br w:type="textWrapping"/>
              <w:t>扎西玉措、邹霞、邢兵帅、姜月、普珍、孙汝文、张亮、张珂嘉、梅晶石、唐承扬、次多、俊美旺扎、云旦平措、旦增洛典、张诗苓、郭琦、旦平、达瓦顿珠</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《历史的回望》编辑人员名单</w:t>
              <w:br w:type="textWrapping"/>
              <w:t>曲珍草、王李、贺西燕、自晓丽、卓玛央萨、唐雨欣、苟茜、白央、赵琳、伊凡、李雪娇、达娃玉珍、吾坚措母、拉巴扎西、央梅朵、冯璐</w:t>
            </w:r>
            <w:proofErr w:type="spellStart"/>
            <w:proofErr w:type="spellEnd"/>
          </w:p>
        </w:tc>
      </w:tr>
    </w:tbl>
    <w:p w14:paraId="3FE8546E" w14:textId="77777777" w:rsidR="003708EB" w:rsidRDefault="00000000">
      <w:r>
        <w:rPr>
          <w:rFonts w:hint="eastAsia"/>
        </w:rPr>
        <w:br w:type="page"/>
      </w:r>
    </w:p>
    <w:p w14:paraId="4EFBCE7C" w14:textId="5DD6A5EF" w:rsidR="003708EB" w:rsidRDefault="00EA4B04">
      <w:pPr>
        <w:spacing w:afterLines="50" w:after="156" w:line="600" w:lineRule="exact"/>
        <w:jc w:val="center"/>
        <w:rPr>
          <w:rFonts w:ascii="方正小标宋简体" w:eastAsia="方正小标宋简体" w:hAnsi="方正小标宋简体" w:cs="方正小标宋简体" w:hint="eastAsia"/>
          <w:color w:val="000000"/>
          <w:sz w:val="44"/>
          <w:szCs w:val="44"/>
        </w:rPr>
      </w:pPr>
      <w:r w:rsidRPr="00EA4B04">
        <w:rPr>
          <w:rFonts w:ascii="方正小标宋简体" w:eastAsia="方正小标宋简体" w:hAnsi="方正小标宋简体" w:cs="方正小标宋简体"/>
          <w:color w:val="000000"/>
          <w:sz w:val="44"/>
          <w:szCs w:val="44"/>
        </w:rPr>
        <w:lastRenderedPageBreak/>
        <w:t>中国新闻奖集纳式作品目录</w:t>
      </w:r>
    </w:p>
    <w:tbl>
      <w:tblPr>
        <w:tblW w:w="987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63"/>
        <w:gridCol w:w="2336"/>
        <w:gridCol w:w="1134"/>
        <w:gridCol w:w="1134"/>
        <w:gridCol w:w="1418"/>
        <w:gridCol w:w="1423"/>
        <w:gridCol w:w="1002"/>
      </w:tblGrid>
      <w:tr w:rsidR="003708EB" w14:paraId="513455FC" w14:textId="77777777" w:rsidTr="00BA464F">
        <w:trPr>
          <w:trHeight w:val="680"/>
          <w:jc w:val="center"/>
        </w:trPr>
        <w:tc>
          <w:tcPr>
            <w:tcW w:w="1423" w:type="dxa"/>
            <w:gridSpan w:val="2"/>
            <w:tcBorders>
              <w:bottom w:val="single" w:sz="4" w:space="0" w:color="auto"/>
            </w:tcBorders>
            <w:vAlign w:val="center"/>
          </w:tcPr>
          <w:p w14:paraId="2D2D52AD" w14:textId="77777777" w:rsidR="003708EB" w:rsidRDefault="00000000">
            <w:pPr>
              <w:snapToGrid w:val="0"/>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作品标题</w:t>
            </w:r>
          </w:p>
        </w:tc>
        <w:tc>
          <w:tcPr>
            <w:tcW w:w="8447" w:type="dxa"/>
            <w:gridSpan w:val="6"/>
            <w:tcBorders>
              <w:bottom w:val="single" w:sz="4" w:space="0" w:color="auto"/>
            </w:tcBorders>
            <w:vAlign w:val="center"/>
          </w:tcPr>
          <w:p w14:paraId="3EC97257" w14:textId="77777777" w:rsidR="003708EB" w:rsidRDefault="00000000">
            <w:pPr>
              <w:snapToGrid w:val="0"/>
              <w:rPr>
                <w:rFonts w:ascii="华文中宋" w:eastAsia="华文中宋" w:hAnsi="华文中宋" w:hint="eastAsia"/>
                <w:color w:val="000000"/>
                <w:sz w:val="28"/>
                <w:szCs w:val="28"/>
              </w:rPr>
            </w:pPr>
            <w:r>
              <w:rPr>
                <w:rFonts w:ascii="宋体" w:hAnsi="宋体" w:hint="eastAsia"/>
                <w:color w:val="000000"/>
                <w:sz w:val="24"/>
                <w:szCs w:val="24"/>
              </w:rPr>
              <w:t>历史的回望</w:t>
            </w:r>
            <w:proofErr w:type="spellStart"/>
            <w:proofErr w:type="spellEnd"/>
          </w:p>
        </w:tc>
      </w:tr>
      <w:tr w:rsidR="003708EB" w14:paraId="3C06C6B9" w14:textId="77777777" w:rsidTr="00BA464F">
        <w:tblPrEx>
          <w:tblBorders>
            <w:bottom w:val="single" w:sz="4" w:space="0" w:color="auto"/>
          </w:tblBorders>
        </w:tblPrEx>
        <w:trPr>
          <w:trHeight w:val="680"/>
          <w:jc w:val="center"/>
        </w:trPr>
        <w:tc>
          <w:tcPr>
            <w:tcW w:w="860" w:type="dxa"/>
            <w:tcBorders>
              <w:top w:val="single" w:sz="4" w:space="0" w:color="auto"/>
              <w:left w:val="single" w:sz="4" w:space="0" w:color="auto"/>
              <w:bottom w:val="single" w:sz="4" w:space="0" w:color="auto"/>
              <w:right w:val="single" w:sz="4" w:space="0" w:color="auto"/>
            </w:tcBorders>
            <w:vAlign w:val="center"/>
          </w:tcPr>
          <w:p w14:paraId="5FD39157" w14:textId="77777777" w:rsidR="003708EB" w:rsidRDefault="00000000">
            <w:pPr>
              <w:snapToGrid w:val="0"/>
              <w:spacing w:line="34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序号</w:t>
            </w:r>
          </w:p>
        </w:tc>
        <w:tc>
          <w:tcPr>
            <w:tcW w:w="2899" w:type="dxa"/>
            <w:gridSpan w:val="2"/>
            <w:tcBorders>
              <w:top w:val="single" w:sz="4" w:space="0" w:color="auto"/>
              <w:left w:val="single" w:sz="4" w:space="0" w:color="auto"/>
              <w:bottom w:val="single" w:sz="4" w:space="0" w:color="auto"/>
              <w:right w:val="single" w:sz="4" w:space="0" w:color="auto"/>
            </w:tcBorders>
            <w:vAlign w:val="center"/>
          </w:tcPr>
          <w:p w14:paraId="527BACEB"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单篇作品标题</w:t>
            </w:r>
          </w:p>
        </w:tc>
        <w:tc>
          <w:tcPr>
            <w:tcW w:w="1134" w:type="dxa"/>
            <w:tcBorders>
              <w:top w:val="single" w:sz="4" w:space="0" w:color="auto"/>
              <w:left w:val="single" w:sz="4" w:space="0" w:color="auto"/>
              <w:bottom w:val="single" w:sz="4" w:space="0" w:color="auto"/>
              <w:right w:val="single" w:sz="4" w:space="0" w:color="auto"/>
            </w:tcBorders>
            <w:vAlign w:val="center"/>
          </w:tcPr>
          <w:p w14:paraId="6DA585F1"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体裁</w:t>
            </w:r>
          </w:p>
        </w:tc>
        <w:tc>
          <w:tcPr>
            <w:tcW w:w="1134" w:type="dxa"/>
            <w:tcBorders>
              <w:top w:val="single" w:sz="4" w:space="0" w:color="auto"/>
              <w:left w:val="single" w:sz="4" w:space="0" w:color="auto"/>
              <w:bottom w:val="single" w:sz="4" w:space="0" w:color="auto"/>
              <w:right w:val="single" w:sz="4" w:space="0" w:color="auto"/>
            </w:tcBorders>
            <w:vAlign w:val="center"/>
          </w:tcPr>
          <w:p w14:paraId="02104ED6"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字数/时长</w:t>
            </w:r>
          </w:p>
        </w:tc>
        <w:tc>
          <w:tcPr>
            <w:tcW w:w="1418" w:type="dxa"/>
            <w:tcBorders>
              <w:top w:val="single" w:sz="4" w:space="0" w:color="auto"/>
              <w:left w:val="single" w:sz="4" w:space="0" w:color="auto"/>
              <w:bottom w:val="single" w:sz="4" w:space="0" w:color="auto"/>
              <w:right w:val="single" w:sz="4" w:space="0" w:color="auto"/>
            </w:tcBorders>
            <w:vAlign w:val="center"/>
          </w:tcPr>
          <w:p w14:paraId="46AD2AF4"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刊播日期</w:t>
            </w:r>
          </w:p>
        </w:tc>
        <w:tc>
          <w:tcPr>
            <w:tcW w:w="1423" w:type="dxa"/>
            <w:tcBorders>
              <w:top w:val="single" w:sz="4" w:space="0" w:color="auto"/>
              <w:left w:val="single" w:sz="4" w:space="0" w:color="auto"/>
              <w:bottom w:val="single" w:sz="4" w:space="0" w:color="auto"/>
              <w:right w:val="single" w:sz="4" w:space="0" w:color="auto"/>
            </w:tcBorders>
            <w:vAlign w:val="center"/>
          </w:tcPr>
          <w:p w14:paraId="7C55A9DB" w14:textId="1DFDB038" w:rsidR="003708EB" w:rsidRDefault="005747AE">
            <w:pPr>
              <w:snapToGrid w:val="0"/>
              <w:spacing w:line="320" w:lineRule="exact"/>
              <w:jc w:val="center"/>
              <w:rPr>
                <w:rFonts w:ascii="华文中宋" w:eastAsia="华文中宋" w:hAnsi="华文中宋" w:hint="eastAsia"/>
                <w:color w:val="000000"/>
                <w:sz w:val="28"/>
                <w:szCs w:val="28"/>
              </w:rPr>
            </w:pPr>
            <w:r w:rsidRPr="005747AE">
              <w:rPr>
                <w:rFonts w:ascii="华文中宋" w:eastAsia="华文中宋" w:hAnsi="华文中宋"/>
                <w:color w:val="000000"/>
                <w:sz w:val="28"/>
                <w:szCs w:val="28"/>
              </w:rPr>
              <w:t>发布端/账号/</w:t>
            </w:r>
            <w:r>
              <w:rPr>
                <w:rFonts w:ascii="华文中宋" w:eastAsia="华文中宋" w:hAnsi="华文中宋" w:hint="eastAsia"/>
                <w:color w:val="000000"/>
                <w:sz w:val="28"/>
                <w:szCs w:val="28"/>
              </w:rPr>
              <w:t>刊播版面</w:t>
            </w:r>
          </w:p>
        </w:tc>
        <w:tc>
          <w:tcPr>
            <w:tcW w:w="1002" w:type="dxa"/>
            <w:tcBorders>
              <w:top w:val="single" w:sz="4" w:space="0" w:color="auto"/>
              <w:left w:val="single" w:sz="4" w:space="0" w:color="auto"/>
              <w:bottom w:val="single" w:sz="4" w:space="0" w:color="auto"/>
              <w:right w:val="single" w:sz="4" w:space="0" w:color="auto"/>
            </w:tcBorders>
            <w:vAlign w:val="center"/>
          </w:tcPr>
          <w:p w14:paraId="7D6237E2"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备注</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这些视频资料难得一见：阿旺老人和儿孙们</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新闻纪录片</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5分28秒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2025-08-18 21:02</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西藏卫视+</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2</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“熊猫毛毯”背后的西藏记忆！</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新闻纪录片</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6分04秒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2025-08-19 18:46</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西藏卫视+</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3</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“咱们工人有力量”还记得西藏第一代的他们吗？</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新闻纪录片</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5分20秒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2025-08-20 11:44</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西藏卫视+</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4</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60年，演的就是西藏人的真实生活</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新闻纪录片</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7分55秒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2025-08-22 21:59</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西藏卫视+</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5</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上课，起立，老师好！—响彻60年的开场白</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新闻纪录片</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6分38秒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2025-08-25 17:59</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西藏卫视+</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6</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“妇女能顶半边天”—西藏气象事业中的“她”力量</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新闻纪录片</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5分12秒</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2025-08-26 16:47</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西藏卫视+</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